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40A06" w14:textId="364286C6" w:rsidR="00740B8F" w:rsidRPr="00740B8F" w:rsidRDefault="00740B8F" w:rsidP="00740B8F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sz w:val="28"/>
          <w:szCs w:val="28"/>
          <w:lang w:val="en-IN"/>
        </w:rPr>
      </w:pPr>
      <w:bookmarkStart w:id="0" w:name="_Hlk210144736"/>
      <w:r w:rsidRPr="00740B8F">
        <w:rPr>
          <w:b/>
          <w:bCs/>
          <w:sz w:val="24"/>
          <w:szCs w:val="24"/>
          <w:lang w:val="en-IN"/>
        </w:rPr>
        <w:t xml:space="preserve">3GPP TSG-RAN3 Meeting #129bis                                                    </w:t>
      </w:r>
      <w:r w:rsidRPr="00740B8F">
        <w:rPr>
          <w:rFonts w:cs="Arial"/>
          <w:b/>
          <w:bCs/>
          <w:sz w:val="24"/>
          <w:szCs w:val="24"/>
          <w:lang w:val="en-IN"/>
        </w:rPr>
        <w:t>R3-25</w:t>
      </w:r>
      <w:r w:rsidR="007F010A">
        <w:rPr>
          <w:rFonts w:cs="Arial"/>
          <w:b/>
          <w:bCs/>
          <w:sz w:val="24"/>
          <w:szCs w:val="24"/>
          <w:lang w:val="en-IN"/>
        </w:rPr>
        <w:t>7111</w:t>
      </w:r>
    </w:p>
    <w:p w14:paraId="6E714924" w14:textId="77777777" w:rsidR="00740B8F" w:rsidRPr="00740B8F" w:rsidRDefault="00740B8F" w:rsidP="00740B8F">
      <w:pPr>
        <w:pStyle w:val="CRCoverPage"/>
        <w:outlineLvl w:val="0"/>
        <w:rPr>
          <w:b/>
          <w:sz w:val="24"/>
          <w:lang w:val="en-IN"/>
        </w:rPr>
      </w:pPr>
      <w:r w:rsidRPr="00740B8F">
        <w:rPr>
          <w:b/>
          <w:sz w:val="24"/>
          <w:lang w:val="en-IN"/>
        </w:rPr>
        <w:t xml:space="preserve">Prague, Czech Republic, Oct 13 – 17, 2025                                        </w:t>
      </w:r>
    </w:p>
    <w:p w14:paraId="0B0FD66E" w14:textId="284A6E9D" w:rsidR="00740B8F" w:rsidRPr="00740B8F" w:rsidRDefault="00740B8F" w:rsidP="00740B8F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740B8F">
        <w:rPr>
          <w:rFonts w:ascii="Arial" w:hAnsi="Arial" w:cs="Arial"/>
          <w:b/>
          <w:sz w:val="24"/>
        </w:rPr>
        <w:t>Agenda Item:</w:t>
      </w:r>
      <w:r w:rsidRPr="00740B8F">
        <w:rPr>
          <w:rFonts w:ascii="Arial" w:hAnsi="Arial" w:cs="Arial"/>
          <w:sz w:val="24"/>
        </w:rPr>
        <w:tab/>
        <w:t>1</w:t>
      </w:r>
      <w:r w:rsidR="00567FBB">
        <w:rPr>
          <w:rFonts w:ascii="Arial" w:hAnsi="Arial" w:cs="Arial"/>
          <w:sz w:val="24"/>
        </w:rPr>
        <w:t>3</w:t>
      </w:r>
      <w:r w:rsidRPr="00740B8F">
        <w:rPr>
          <w:rFonts w:ascii="Arial" w:hAnsi="Arial" w:cs="Arial"/>
          <w:sz w:val="24"/>
        </w:rPr>
        <w:t>.</w:t>
      </w:r>
      <w:r w:rsidR="00567FBB">
        <w:rPr>
          <w:rFonts w:ascii="Arial" w:hAnsi="Arial" w:cs="Arial"/>
          <w:sz w:val="24"/>
        </w:rPr>
        <w:t>2</w:t>
      </w:r>
    </w:p>
    <w:p w14:paraId="79A1E03F" w14:textId="472797D3" w:rsidR="00740B8F" w:rsidRPr="00740B8F" w:rsidRDefault="00740B8F" w:rsidP="00740B8F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740B8F">
        <w:rPr>
          <w:rFonts w:ascii="Arial" w:hAnsi="Arial" w:cs="Arial"/>
          <w:b/>
          <w:sz w:val="24"/>
        </w:rPr>
        <w:t xml:space="preserve">Source: </w:t>
      </w:r>
      <w:r w:rsidRPr="00740B8F">
        <w:rPr>
          <w:rFonts w:ascii="Arial" w:hAnsi="Arial" w:cs="Arial"/>
          <w:b/>
          <w:sz w:val="24"/>
        </w:rPr>
        <w:tab/>
      </w:r>
      <w:r w:rsidRPr="00740B8F">
        <w:rPr>
          <w:rFonts w:ascii="Arial" w:hAnsi="Arial" w:cs="Arial"/>
          <w:sz w:val="24"/>
        </w:rPr>
        <w:t>CEWiT</w:t>
      </w:r>
      <w:r w:rsidRPr="00740B8F">
        <w:rPr>
          <w:rFonts w:ascii="Arial" w:hAnsi="Arial" w:cs="Arial"/>
          <w:sz w:val="24"/>
          <w:highlight w:val="cyan"/>
        </w:rPr>
        <w:t xml:space="preserve"> </w:t>
      </w:r>
    </w:p>
    <w:p w14:paraId="5224CA1F" w14:textId="459F88A2" w:rsidR="00740B8F" w:rsidRPr="00740B8F" w:rsidRDefault="00740B8F" w:rsidP="00740B8F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szCs w:val="24"/>
        </w:rPr>
      </w:pPr>
      <w:r w:rsidRPr="00740B8F">
        <w:rPr>
          <w:rFonts w:ascii="Arial" w:hAnsi="Arial" w:cs="Arial"/>
          <w:b/>
          <w:bCs/>
          <w:sz w:val="24"/>
          <w:szCs w:val="24"/>
        </w:rPr>
        <w:t>Title:</w:t>
      </w:r>
      <w:r w:rsidRPr="00740B8F">
        <w:rPr>
          <w:rFonts w:ascii="Arial" w:hAnsi="Arial" w:cs="Arial"/>
          <w:sz w:val="24"/>
          <w:szCs w:val="24"/>
        </w:rPr>
        <w:t xml:space="preserve"> </w:t>
      </w:r>
      <w:r w:rsidRPr="00740B8F">
        <w:rPr>
          <w:rFonts w:ascii="Arial" w:hAnsi="Arial" w:cs="Arial"/>
        </w:rPr>
        <w:tab/>
      </w:r>
      <w:r w:rsidR="00567FBB" w:rsidRPr="00567FBB">
        <w:rPr>
          <w:rFonts w:ascii="Arial" w:hAnsi="Arial" w:cs="Arial"/>
          <w:sz w:val="24"/>
        </w:rPr>
        <w:t xml:space="preserve">Discussion paper on ISAC network </w:t>
      </w:r>
      <w:r w:rsidR="00535A7C" w:rsidRPr="00567FBB">
        <w:rPr>
          <w:rFonts w:ascii="Arial" w:hAnsi="Arial" w:cs="Arial"/>
          <w:sz w:val="24"/>
        </w:rPr>
        <w:t>architecture</w:t>
      </w:r>
    </w:p>
    <w:p w14:paraId="686ADD34" w14:textId="05061AF6" w:rsidR="00740B8F" w:rsidRPr="00740B8F" w:rsidRDefault="00740B8F" w:rsidP="00740B8F">
      <w:pPr>
        <w:pBdr>
          <w:bottom w:val="single" w:sz="12" w:space="1" w:color="auto"/>
        </w:pBd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740B8F"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 w:rsidRPr="00740B8F">
        <w:rPr>
          <w:rFonts w:ascii="Arial" w:hAnsi="Arial" w:cs="Arial"/>
          <w:b/>
          <w:sz w:val="24"/>
        </w:rPr>
        <w:tab/>
      </w:r>
      <w:r w:rsidRPr="00740B8F">
        <w:rPr>
          <w:rFonts w:ascii="Arial" w:hAnsi="Arial" w:cs="Arial"/>
          <w:bCs/>
          <w:sz w:val="24"/>
        </w:rPr>
        <w:t>Discussion and Decision</w:t>
      </w:r>
    </w:p>
    <w:p w14:paraId="66B4FAD7" w14:textId="77777777" w:rsidR="00740B8F" w:rsidRPr="00740B8F" w:rsidRDefault="00740B8F" w:rsidP="00145AAC">
      <w:pPr>
        <w:pStyle w:val="Heading1"/>
        <w:numPr>
          <w:ilvl w:val="0"/>
          <w:numId w:val="13"/>
        </w:numPr>
        <w:ind w:left="360"/>
      </w:pPr>
      <w:bookmarkStart w:id="2" w:name="_Ref492503575"/>
      <w:bookmarkEnd w:id="0"/>
      <w:r w:rsidRPr="00740B8F">
        <w:t>Introduction</w:t>
      </w:r>
      <w:bookmarkEnd w:id="2"/>
    </w:p>
    <w:p w14:paraId="0B2CF611" w14:textId="6FEA5E83" w:rsidR="00740B8F" w:rsidRDefault="00740B8F" w:rsidP="00740B8F">
      <w:pPr>
        <w:jc w:val="both"/>
      </w:pPr>
      <w:r>
        <w:t xml:space="preserve">RAN#108 agreed </w:t>
      </w:r>
      <w:r w:rsidR="00567FBB">
        <w:t>study on ISAC</w:t>
      </w:r>
      <w:r>
        <w:t xml:space="preserve"> </w:t>
      </w:r>
      <w:r w:rsidR="00535A7C">
        <w:t xml:space="preserve">which is updated in the RAN#109 </w:t>
      </w:r>
      <w:r>
        <w:t xml:space="preserve">[1]. </w:t>
      </w:r>
      <w:r w:rsidR="00567FBB">
        <w:t xml:space="preserve">The study is divided between the evaluation of </w:t>
      </w:r>
      <w:r w:rsidR="00567FBB" w:rsidRPr="00023870">
        <w:rPr>
          <w:bCs/>
        </w:rPr>
        <w:t xml:space="preserve">the performance of gNB-based mono-static sensing (i.e., single TRP with co-located sensing transmitter and receiver) for UAV use case </w:t>
      </w:r>
      <w:r w:rsidR="00535A7C">
        <w:rPr>
          <w:bCs/>
        </w:rPr>
        <w:t>and study</w:t>
      </w:r>
      <w:r w:rsidR="00567FBB" w:rsidRPr="00023870">
        <w:rPr>
          <w:bCs/>
        </w:rPr>
        <w:t xml:space="preserve"> the procedures, </w:t>
      </w:r>
      <w:r w:rsidR="00535A7C" w:rsidRPr="00023870">
        <w:rPr>
          <w:bCs/>
        </w:rPr>
        <w:t>signalling</w:t>
      </w:r>
      <w:r w:rsidR="00567FBB" w:rsidRPr="00023870">
        <w:rPr>
          <w:bCs/>
        </w:rPr>
        <w:t xml:space="preserve"> between RAN and CN to support ISAC </w:t>
      </w:r>
      <w:r w:rsidR="00567FBB">
        <w:rPr>
          <w:bCs/>
        </w:rPr>
        <w:t xml:space="preserve">along with </w:t>
      </w:r>
      <w:r w:rsidR="00567FBB" w:rsidRPr="00023870">
        <w:rPr>
          <w:bCs/>
        </w:rPr>
        <w:t>network architecture for gNB-based mono-static sensing for UAV sensing target use cases</w:t>
      </w:r>
      <w:r w:rsidR="00567FBB">
        <w:rPr>
          <w:bCs/>
        </w:rPr>
        <w:t>.</w:t>
      </w:r>
      <w:r w:rsidR="00567FBB" w:rsidRPr="00023870">
        <w:rPr>
          <w:bCs/>
        </w:rPr>
        <w:t xml:space="preserve"> </w:t>
      </w:r>
      <w:r w:rsidR="00567FBB">
        <w:rPr>
          <w:bCs/>
        </w:rPr>
        <w:t xml:space="preserve">The latter </w:t>
      </w:r>
      <w:r w:rsidR="00535A7C">
        <w:rPr>
          <w:bCs/>
        </w:rPr>
        <w:t>objective</w:t>
      </w:r>
      <w:r w:rsidR="00567FBB">
        <w:rPr>
          <w:bCs/>
        </w:rPr>
        <w:t xml:space="preserve"> is relevant from RAN 3 </w:t>
      </w:r>
      <w:r w:rsidR="00535A7C">
        <w:rPr>
          <w:bCs/>
        </w:rPr>
        <w:t>perspectives</w:t>
      </w:r>
      <w:r w:rsidR="00567FBB">
        <w:rPr>
          <w:bCs/>
        </w:rPr>
        <w:t xml:space="preserve"> based on the RAN 1 input for the prior objective. </w:t>
      </w:r>
      <w:r>
        <w:t xml:space="preserve">This relevant objective regarding </w:t>
      </w:r>
      <w:r w:rsidR="00567FBB">
        <w:t xml:space="preserve">for ISAC from RAN 3 perspective </w:t>
      </w:r>
      <w:r w:rsidR="00145AAC">
        <w:t>is as below,</w:t>
      </w:r>
      <w:r w:rsidR="00567FB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145AAC" w14:paraId="3540CBDE" w14:textId="77777777" w:rsidTr="00145AAC">
        <w:tc>
          <w:tcPr>
            <w:tcW w:w="8630" w:type="dxa"/>
          </w:tcPr>
          <w:p w14:paraId="4E953F19" w14:textId="371EBEF5" w:rsidR="00567FBB" w:rsidRPr="00023870" w:rsidRDefault="00567FBB" w:rsidP="00567FBB">
            <w:pPr>
              <w:rPr>
                <w:bCs/>
              </w:rPr>
            </w:pPr>
            <w:bookmarkStart w:id="3" w:name="_Hlk210350191"/>
            <w:r w:rsidRPr="00023870">
              <w:rPr>
                <w:bCs/>
              </w:rPr>
              <w:t xml:space="preserve">Study the procedures, </w:t>
            </w:r>
            <w:r w:rsidR="00535A7C" w:rsidRPr="00023870">
              <w:rPr>
                <w:bCs/>
              </w:rPr>
              <w:t>signalling</w:t>
            </w:r>
            <w:r w:rsidRPr="00023870">
              <w:rPr>
                <w:bCs/>
              </w:rPr>
              <w:t xml:space="preserve"> between RAN and CN to support ISAC </w:t>
            </w:r>
            <w:bookmarkEnd w:id="3"/>
            <w:r w:rsidRPr="00023870">
              <w:rPr>
                <w:bCs/>
              </w:rPr>
              <w:t>[RAN3]</w:t>
            </w:r>
          </w:p>
          <w:p w14:paraId="4EA26EE2" w14:textId="77777777" w:rsidR="00567FBB" w:rsidRPr="00023870" w:rsidRDefault="00567FBB" w:rsidP="00567FBB">
            <w:pPr>
              <w:rPr>
                <w:bCs/>
              </w:rPr>
            </w:pPr>
          </w:p>
          <w:p w14:paraId="4884B4E9" w14:textId="77777777" w:rsidR="00567FBB" w:rsidRPr="00023870" w:rsidRDefault="00567FBB" w:rsidP="00567FBB">
            <w:pPr>
              <w:rPr>
                <w:bCs/>
              </w:rPr>
            </w:pPr>
            <w:r w:rsidRPr="00023870">
              <w:rPr>
                <w:bCs/>
              </w:rPr>
              <w:t xml:space="preserve">Study </w:t>
            </w:r>
            <w:bookmarkStart w:id="4" w:name="_Hlk210350230"/>
            <w:r w:rsidRPr="00023870">
              <w:rPr>
                <w:bCs/>
              </w:rPr>
              <w:t xml:space="preserve">network architecture for gNB-based mono-static sensing for UAV sensing target use cases </w:t>
            </w:r>
            <w:bookmarkEnd w:id="4"/>
            <w:r w:rsidRPr="00023870">
              <w:rPr>
                <w:bCs/>
              </w:rPr>
              <w:t>[RAN3]</w:t>
            </w:r>
          </w:p>
          <w:p w14:paraId="261D1C32" w14:textId="77777777" w:rsidR="00567FBB" w:rsidRPr="00023870" w:rsidRDefault="00567FBB" w:rsidP="00567FBB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</w:rPr>
            </w:pPr>
            <w:r w:rsidRPr="00023870">
              <w:rPr>
                <w:bCs/>
              </w:rPr>
              <w:t>Applicability to gNB bistatic sensing may be considered as part of this network architecture without additional architecture impacts.</w:t>
            </w:r>
          </w:p>
          <w:p w14:paraId="45CF83EE" w14:textId="77777777" w:rsidR="00567FBB" w:rsidRPr="00023870" w:rsidRDefault="00567FBB" w:rsidP="00567FBB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</w:rPr>
            </w:pPr>
            <w:r w:rsidRPr="00023870">
              <w:rPr>
                <w:lang w:val="en-US" w:eastAsia="ko-KR"/>
              </w:rPr>
              <w:t>No inter-gNB coordination will be studied.</w:t>
            </w:r>
          </w:p>
          <w:p w14:paraId="607CF7F1" w14:textId="3A6EF914" w:rsidR="00145AAC" w:rsidRPr="00567FBB" w:rsidRDefault="00567FBB" w:rsidP="00567FBB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</w:rPr>
            </w:pPr>
            <w:r w:rsidRPr="00023870">
              <w:rPr>
                <w:bCs/>
              </w:rPr>
              <w:t>Coordination with SA2 as necessary.</w:t>
            </w:r>
          </w:p>
        </w:tc>
      </w:tr>
    </w:tbl>
    <w:p w14:paraId="2E00CC7B" w14:textId="77777777" w:rsidR="002D0DDC" w:rsidRDefault="002D0DDC" w:rsidP="00145AA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C2CC68" w14:textId="69B1EB87" w:rsidR="00567FBB" w:rsidRDefault="00535A7C" w:rsidP="00145AAC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Further a stage 1 work on ISAC has been completed by SA1 including the use cases and requirement aspects for ISAC. </w:t>
      </w:r>
      <w:r w:rsidR="00567FBB" w:rsidRPr="00567FBB">
        <w:rPr>
          <w:rFonts w:ascii="Times New Roman" w:hAnsi="Times New Roman" w:cs="Times New Roman"/>
          <w:sz w:val="24"/>
          <w:szCs w:val="24"/>
        </w:rPr>
        <w:t>TR 22.837 identifies a very wide range of ISAC use cases, and requirements for such are defined in TS 22.137</w:t>
      </w:r>
      <w:proofErr w:type="gramStart"/>
      <w:r w:rsidR="00567FBB" w:rsidRPr="00567FBB">
        <w:rPr>
          <w:rFonts w:ascii="Times New Roman" w:hAnsi="Times New Roman" w:cs="Times New Roman"/>
          <w:sz w:val="24"/>
          <w:szCs w:val="24"/>
        </w:rPr>
        <w:t>, in particular, detection</w:t>
      </w:r>
      <w:proofErr w:type="gramEnd"/>
      <w:r w:rsidR="00567FBB" w:rsidRPr="00567FBB">
        <w:rPr>
          <w:rFonts w:ascii="Times New Roman" w:hAnsi="Times New Roman" w:cs="Times New Roman"/>
          <w:sz w:val="24"/>
          <w:szCs w:val="24"/>
        </w:rPr>
        <w:t xml:space="preserve"> and/or tracking of UAV (Uncrewed Aerial Vehicles). SA2 also has an ongoing Rel-20 study on Architecture Enhancement to support Integrated Sensing and Communication (FS_Sensing_ARC, SP-250401).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5A7C">
        <w:rPr>
          <w:rFonts w:ascii="Times New Roman" w:hAnsi="Times New Roman" w:cs="Times New Roman"/>
          <w:sz w:val="24"/>
          <w:szCs w:val="24"/>
        </w:rPr>
        <w:t>In Release 19, a channel modelling framework for ISAC to enable evaluation of sensing techniques for such use cases was added to the existing communication models in TR38.901.</w:t>
      </w:r>
    </w:p>
    <w:p w14:paraId="7F4C76BE" w14:textId="69A58989" w:rsidR="005B3D8B" w:rsidRPr="00740B8F" w:rsidRDefault="00145AAC" w:rsidP="00145AAC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Considering these aspects</w:t>
      </w:r>
      <w:r w:rsidR="00535A7C">
        <w:rPr>
          <w:rFonts w:ascii="Times New Roman" w:hAnsi="Times New Roman" w:cs="Times New Roman"/>
          <w:sz w:val="24"/>
          <w:szCs w:val="24"/>
        </w:rPr>
        <w:t xml:space="preserve"> and the defined objective</w:t>
      </w:r>
      <w:r>
        <w:rPr>
          <w:rFonts w:ascii="Times New Roman" w:hAnsi="Times New Roman" w:cs="Times New Roman"/>
          <w:sz w:val="24"/>
          <w:szCs w:val="24"/>
        </w:rPr>
        <w:t>, t</w:t>
      </w:r>
      <w:r w:rsidRPr="00740B8F">
        <w:rPr>
          <w:rFonts w:ascii="Times New Roman" w:hAnsi="Times New Roman" w:cs="Times New Roman"/>
          <w:sz w:val="24"/>
          <w:szCs w:val="24"/>
        </w:rPr>
        <w:t xml:space="preserve">his contribution highlights </w:t>
      </w:r>
      <w:r w:rsidR="00535A7C">
        <w:rPr>
          <w:rFonts w:ascii="Times New Roman" w:hAnsi="Times New Roman" w:cs="Times New Roman"/>
          <w:sz w:val="24"/>
          <w:szCs w:val="24"/>
        </w:rPr>
        <w:t xml:space="preserve">necessary aspects of the network architecture for ISAC considering mono static sensing as baseline but can be extended to bistatic sensing too. </w:t>
      </w:r>
    </w:p>
    <w:p w14:paraId="33746071" w14:textId="19DF2EA4" w:rsidR="005B3D8B" w:rsidRDefault="00D16FF1" w:rsidP="00145AAC">
      <w:pPr>
        <w:pStyle w:val="Heading1"/>
        <w:numPr>
          <w:ilvl w:val="0"/>
          <w:numId w:val="13"/>
        </w:numPr>
        <w:ind w:left="360"/>
      </w:pPr>
      <w:r>
        <w:lastRenderedPageBreak/>
        <w:t>ISAC Network architecture</w:t>
      </w:r>
    </w:p>
    <w:p w14:paraId="4862F852" w14:textId="68B3789F" w:rsidR="003239FE" w:rsidRDefault="00D16FF1" w:rsidP="003239FE">
      <w:pPr>
        <w:jc w:val="both"/>
        <w:rPr>
          <w:rFonts w:ascii="Times New Roman" w:hAnsi="Times New Roman" w:cs="Times New Roman"/>
          <w:sz w:val="24"/>
          <w:szCs w:val="24"/>
        </w:rPr>
      </w:pPr>
      <w:r w:rsidRPr="003239FE">
        <w:rPr>
          <w:rFonts w:ascii="Times New Roman" w:hAnsi="Times New Roman" w:cs="Times New Roman"/>
          <w:sz w:val="24"/>
          <w:szCs w:val="24"/>
        </w:rPr>
        <w:t xml:space="preserve">SA2 is working on the different key issues to define the sensing architecture, sensing function, sensing entity, discovery of sensing functions &amp; sensing entity, sensing data collection, sensing parameters configuration provisioning and sensing result exposure. </w:t>
      </w:r>
      <w:r w:rsidR="003239FE" w:rsidRPr="003239FE">
        <w:rPr>
          <w:rFonts w:ascii="Times New Roman" w:hAnsi="Times New Roman" w:cs="Times New Roman"/>
          <w:sz w:val="24"/>
          <w:szCs w:val="24"/>
        </w:rPr>
        <w:t>Where</w:t>
      </w:r>
      <w:r w:rsidR="003239FE">
        <w:rPr>
          <w:rFonts w:ascii="Times New Roman" w:hAnsi="Times New Roman" w:cs="Times New Roman"/>
          <w:sz w:val="24"/>
          <w:szCs w:val="24"/>
        </w:rPr>
        <w:t xml:space="preserve">as </w:t>
      </w:r>
      <w:r w:rsidR="003239FE" w:rsidRPr="003239FE">
        <w:rPr>
          <w:rFonts w:ascii="Times New Roman" w:hAnsi="Times New Roman" w:cs="Times New Roman"/>
          <w:sz w:val="24"/>
          <w:szCs w:val="24"/>
        </w:rPr>
        <w:t>RAN 1 is working on the physical layer parameter evaluation for sensing purpose.</w:t>
      </w:r>
      <w:r w:rsidR="003239FE">
        <w:rPr>
          <w:rFonts w:ascii="Times New Roman" w:hAnsi="Times New Roman" w:cs="Times New Roman"/>
          <w:sz w:val="24"/>
          <w:szCs w:val="24"/>
        </w:rPr>
        <w:t xml:space="preserve"> Further the scope of the study limits to mono static sensing for </w:t>
      </w:r>
      <w:r w:rsidR="003239FE" w:rsidRPr="00567FBB">
        <w:rPr>
          <w:rFonts w:ascii="Times New Roman" w:hAnsi="Times New Roman" w:cs="Times New Roman"/>
          <w:sz w:val="24"/>
          <w:szCs w:val="24"/>
        </w:rPr>
        <w:t>detection and/or tracking of Uncrewed Aerial Vehicles</w:t>
      </w:r>
      <w:r w:rsidR="003239FE">
        <w:rPr>
          <w:rFonts w:ascii="Times New Roman" w:hAnsi="Times New Roman" w:cs="Times New Roman"/>
          <w:sz w:val="24"/>
          <w:szCs w:val="24"/>
        </w:rPr>
        <w:t xml:space="preserve"> (</w:t>
      </w:r>
      <w:r w:rsidR="003239FE" w:rsidRPr="00567FBB">
        <w:rPr>
          <w:rFonts w:ascii="Times New Roman" w:hAnsi="Times New Roman" w:cs="Times New Roman"/>
          <w:sz w:val="24"/>
          <w:szCs w:val="24"/>
        </w:rPr>
        <w:t>UAV)</w:t>
      </w:r>
      <w:r w:rsidR="003239FE">
        <w:rPr>
          <w:rFonts w:ascii="Times New Roman" w:hAnsi="Times New Roman" w:cs="Times New Roman"/>
          <w:sz w:val="24"/>
          <w:szCs w:val="24"/>
        </w:rPr>
        <w:t xml:space="preserve">. It is agreed to extend the same framework to bistatic sensing too without specific enhancement related to it. From RAN 3 perspectives, the interim agreement can be considered for initial discussion purpose and details can be updated once the inputs are available from SA2. </w:t>
      </w:r>
    </w:p>
    <w:p w14:paraId="2A7950DD" w14:textId="34063EB2" w:rsidR="00D16FF1" w:rsidRPr="003239FE" w:rsidRDefault="003239FE" w:rsidP="003239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the initial discussion ISAC perspective following network architecture can be studied.  </w:t>
      </w:r>
    </w:p>
    <w:p w14:paraId="140E0ED4" w14:textId="693D8FFB" w:rsidR="00D16FF1" w:rsidRPr="00D16FF1" w:rsidRDefault="00D16FF1" w:rsidP="00D16FF1">
      <w:pPr>
        <w:rPr>
          <w:lang w:val="en-US"/>
        </w:rPr>
      </w:pPr>
      <w:r w:rsidRPr="00D16FF1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4BE70901" wp14:editId="1A9D7932">
            <wp:simplePos x="0" y="0"/>
            <wp:positionH relativeFrom="margin">
              <wp:posOffset>12700</wp:posOffset>
            </wp:positionH>
            <wp:positionV relativeFrom="paragraph">
              <wp:posOffset>193040</wp:posOffset>
            </wp:positionV>
            <wp:extent cx="5486400" cy="2857500"/>
            <wp:effectExtent l="0" t="0" r="0" b="0"/>
            <wp:wrapTopAndBottom/>
            <wp:docPr id="119933650" name="Picture 6" descr="A group of white squares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33650" name="Picture 6" descr="A group of white squares with black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9DB4EF8" w14:textId="77777777" w:rsidR="00820B23" w:rsidRDefault="00820B23" w:rsidP="00820B23">
      <w:pPr>
        <w:jc w:val="center"/>
        <w:rPr>
          <w:b/>
          <w:bCs/>
          <w:lang w:val="en-US"/>
        </w:rPr>
      </w:pPr>
    </w:p>
    <w:p w14:paraId="7DE1FBC8" w14:textId="294291AC" w:rsidR="00D16FF1" w:rsidRPr="00820B23" w:rsidRDefault="003239FE" w:rsidP="00820B23">
      <w:pPr>
        <w:jc w:val="center"/>
        <w:rPr>
          <w:b/>
          <w:bCs/>
          <w:lang w:val="en-US"/>
        </w:rPr>
      </w:pPr>
      <w:r w:rsidRPr="00820B23">
        <w:rPr>
          <w:b/>
          <w:bCs/>
          <w:lang w:val="en-US"/>
        </w:rPr>
        <w:t xml:space="preserve">Figure 1: </w:t>
      </w:r>
      <w:r w:rsidR="00D67AAF" w:rsidRPr="00820B23">
        <w:rPr>
          <w:b/>
          <w:bCs/>
          <w:lang w:val="en-US"/>
        </w:rPr>
        <w:t>Network architecture for ISAC</w:t>
      </w:r>
    </w:p>
    <w:p w14:paraId="5ED9CC6E" w14:textId="77777777" w:rsidR="003239FE" w:rsidRDefault="003239FE" w:rsidP="00D16FF1">
      <w:pPr>
        <w:rPr>
          <w:lang w:val="en-US"/>
        </w:rPr>
      </w:pPr>
    </w:p>
    <w:p w14:paraId="4C33476C" w14:textId="433B0309" w:rsidR="003239FE" w:rsidRDefault="003239FE" w:rsidP="00D16FF1">
      <w:pPr>
        <w:rPr>
          <w:lang w:val="en-US"/>
        </w:rPr>
      </w:pPr>
      <w:r>
        <w:rPr>
          <w:lang w:val="en-US"/>
        </w:rPr>
        <w:t>The network architecture for ISAC includes the following components:</w:t>
      </w:r>
    </w:p>
    <w:p w14:paraId="228E8363" w14:textId="0696A282" w:rsidR="003239FE" w:rsidRDefault="003239FE" w:rsidP="00982E29">
      <w:pPr>
        <w:pStyle w:val="ListParagraph"/>
        <w:numPr>
          <w:ilvl w:val="0"/>
          <w:numId w:val="15"/>
        </w:numPr>
        <w:jc w:val="both"/>
        <w:rPr>
          <w:lang w:val="en-US"/>
        </w:rPr>
      </w:pPr>
      <w:r w:rsidRPr="00982E29">
        <w:rPr>
          <w:b/>
          <w:bCs/>
          <w:lang w:val="en-US"/>
        </w:rPr>
        <w:t>External Client:</w:t>
      </w:r>
      <w:r>
        <w:rPr>
          <w:lang w:val="en-US"/>
        </w:rPr>
        <w:t xml:space="preserve"> </w:t>
      </w:r>
      <w:r w:rsidR="00982E29">
        <w:rPr>
          <w:lang w:val="en-US"/>
        </w:rPr>
        <w:t>External Client is external application which requests sensing data. External clients can be authorized or unauthorized.</w:t>
      </w:r>
    </w:p>
    <w:p w14:paraId="12D5AFDB" w14:textId="05D5FC44" w:rsidR="003239FE" w:rsidRPr="00982E29" w:rsidRDefault="003239FE" w:rsidP="00982E29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jc w:val="both"/>
        <w:textAlignment w:val="baseline"/>
        <w:rPr>
          <w:lang w:val="en-US"/>
        </w:rPr>
      </w:pPr>
      <w:r w:rsidRPr="00982E29">
        <w:rPr>
          <w:b/>
          <w:bCs/>
          <w:lang w:val="en-US"/>
        </w:rPr>
        <w:t>NEF:</w:t>
      </w:r>
      <w:r w:rsidR="00982E29" w:rsidRPr="00982E29">
        <w:rPr>
          <w:lang w:val="en-US"/>
        </w:rPr>
        <w:t xml:space="preserve"> </w:t>
      </w:r>
      <w:r w:rsidR="00982E29">
        <w:t xml:space="preserve">Network exposure function (NEF) performs authorization for application function (AF) (i.e. in case of </w:t>
      </w:r>
      <w:r w:rsidR="00982E29" w:rsidRPr="00982E29">
        <w:rPr>
          <w:bCs/>
          <w:lang w:val="en-US" w:eastAsia="zh-CN"/>
        </w:rPr>
        <w:t>3</w:t>
      </w:r>
      <w:r w:rsidR="00982E29" w:rsidRPr="00982E29">
        <w:rPr>
          <w:bCs/>
          <w:vertAlign w:val="superscript"/>
          <w:lang w:val="en-US" w:eastAsia="zh-CN"/>
        </w:rPr>
        <w:t>rd</w:t>
      </w:r>
      <w:r w:rsidR="00982E29" w:rsidRPr="00982E29">
        <w:rPr>
          <w:bCs/>
          <w:lang w:val="en-US" w:eastAsia="zh-CN"/>
        </w:rPr>
        <w:t xml:space="preserve"> party</w:t>
      </w:r>
      <w:r w:rsidR="00982E29">
        <w:t xml:space="preserve"> AF) before accepting any sensing service request from AF. This is based on the existing procedure as per TS 23.502 [5].</w:t>
      </w:r>
    </w:p>
    <w:p w14:paraId="77F6A5D5" w14:textId="5401AB17" w:rsidR="003239FE" w:rsidRDefault="003239FE" w:rsidP="00982E29">
      <w:pPr>
        <w:pStyle w:val="ListParagraph"/>
        <w:numPr>
          <w:ilvl w:val="0"/>
          <w:numId w:val="15"/>
        </w:numPr>
        <w:jc w:val="both"/>
        <w:rPr>
          <w:lang w:val="en-US"/>
        </w:rPr>
      </w:pPr>
      <w:r w:rsidRPr="00982E29">
        <w:rPr>
          <w:b/>
          <w:bCs/>
          <w:lang w:val="en-US"/>
        </w:rPr>
        <w:t>SeMF</w:t>
      </w:r>
      <w:r w:rsidR="00982E29" w:rsidRPr="00982E29">
        <w:rPr>
          <w:b/>
          <w:bCs/>
          <w:lang w:val="en-US"/>
        </w:rPr>
        <w:t>:</w:t>
      </w:r>
      <w:r w:rsidR="00982E29">
        <w:rPr>
          <w:lang w:val="en-US"/>
        </w:rPr>
        <w:t xml:space="preserve"> </w:t>
      </w:r>
      <w:r w:rsidR="00982E29" w:rsidRPr="00982E29">
        <w:rPr>
          <w:lang w:val="en-US"/>
        </w:rPr>
        <w:t xml:space="preserve">The </w:t>
      </w:r>
      <w:r w:rsidR="00982E29">
        <w:rPr>
          <w:lang w:val="en-US"/>
        </w:rPr>
        <w:t>Sensing Management Function (</w:t>
      </w:r>
      <w:r w:rsidR="00982E29" w:rsidRPr="00982E29">
        <w:rPr>
          <w:lang w:val="en-US"/>
        </w:rPr>
        <w:t>SeMF</w:t>
      </w:r>
      <w:r w:rsidR="00982E29">
        <w:rPr>
          <w:lang w:val="en-US"/>
        </w:rPr>
        <w:t>)</w:t>
      </w:r>
      <w:r w:rsidR="00982E29" w:rsidRPr="00982E29">
        <w:rPr>
          <w:lang w:val="en-US"/>
        </w:rPr>
        <w:t xml:space="preserve"> receives the sensing service request from NEF/AF and performs the authorization of the sensing service request</w:t>
      </w:r>
      <w:r w:rsidR="00982E29">
        <w:rPr>
          <w:lang w:val="en-US"/>
        </w:rPr>
        <w:t xml:space="preserve">. </w:t>
      </w:r>
      <w:r w:rsidR="00982E29">
        <w:rPr>
          <w:lang w:val="en-US"/>
        </w:rPr>
        <w:lastRenderedPageBreak/>
        <w:t xml:space="preserve">SeMF </w:t>
      </w:r>
      <w:proofErr w:type="gramStart"/>
      <w:r w:rsidR="00982E29">
        <w:rPr>
          <w:lang w:val="en-US"/>
        </w:rPr>
        <w:t>also</w:t>
      </w:r>
      <w:proofErr w:type="gramEnd"/>
      <w:r w:rsidR="00982E29">
        <w:rPr>
          <w:lang w:val="en-US"/>
        </w:rPr>
        <w:t xml:space="preserve"> responsible for managing the sensing ent</w:t>
      </w:r>
      <w:r w:rsidR="008172D5">
        <w:rPr>
          <w:lang w:val="en-US"/>
        </w:rPr>
        <w:t xml:space="preserve">ity (NG-RAN). SeMF provides the sensing configuration to sensing entities. </w:t>
      </w:r>
    </w:p>
    <w:p w14:paraId="3B47813F" w14:textId="7DC7FCF3" w:rsidR="003239FE" w:rsidRDefault="00D67AAF" w:rsidP="00982E29">
      <w:pPr>
        <w:pStyle w:val="ListParagraph"/>
        <w:numPr>
          <w:ilvl w:val="0"/>
          <w:numId w:val="15"/>
        </w:numPr>
        <w:jc w:val="both"/>
        <w:rPr>
          <w:lang w:val="en-US"/>
        </w:rPr>
      </w:pPr>
      <w:r w:rsidRPr="008172D5">
        <w:rPr>
          <w:b/>
          <w:bCs/>
          <w:lang w:val="en-US"/>
        </w:rPr>
        <w:t>AMF:</w:t>
      </w:r>
      <w:r w:rsidR="00982E29">
        <w:rPr>
          <w:lang w:val="en-US"/>
        </w:rPr>
        <w:t xml:space="preserve"> </w:t>
      </w:r>
      <w:r w:rsidR="008172D5">
        <w:rPr>
          <w:lang w:val="en-US"/>
        </w:rPr>
        <w:t>AMF may maintain the capabilities for the NG-RAN from sensing perspective. Further it may help SeMF to authorize the service requested by AF.</w:t>
      </w:r>
    </w:p>
    <w:p w14:paraId="16CA10F1" w14:textId="1DEF96C1" w:rsidR="003239FE" w:rsidRDefault="003239FE" w:rsidP="003239FE">
      <w:pPr>
        <w:pStyle w:val="ListParagraph"/>
        <w:numPr>
          <w:ilvl w:val="0"/>
          <w:numId w:val="15"/>
        </w:numPr>
        <w:rPr>
          <w:lang w:val="en-US"/>
        </w:rPr>
      </w:pPr>
      <w:r w:rsidRPr="008172D5">
        <w:rPr>
          <w:b/>
          <w:bCs/>
          <w:lang w:val="en-US"/>
        </w:rPr>
        <w:t>NG-RAN:</w:t>
      </w:r>
      <w:r w:rsidR="00982E29">
        <w:rPr>
          <w:lang w:val="en-US"/>
        </w:rPr>
        <w:t xml:space="preserve"> It is the sensing entity which performs the sensing measurement estimation/generation task. </w:t>
      </w:r>
      <w:r w:rsidR="008172D5">
        <w:rPr>
          <w:lang w:val="en-US"/>
        </w:rPr>
        <w:t xml:space="preserve">NG-RAN may have sensing management component (SMC) to execute the sensing task in the NG-RAN. </w:t>
      </w:r>
    </w:p>
    <w:p w14:paraId="7F61FC13" w14:textId="7EE4D554" w:rsidR="003239FE" w:rsidRDefault="003239FE" w:rsidP="003239FE">
      <w:pPr>
        <w:pStyle w:val="ListParagraph"/>
        <w:numPr>
          <w:ilvl w:val="0"/>
          <w:numId w:val="15"/>
        </w:numPr>
        <w:rPr>
          <w:lang w:val="en-US"/>
        </w:rPr>
      </w:pPr>
      <w:r w:rsidRPr="008172D5">
        <w:rPr>
          <w:b/>
          <w:bCs/>
          <w:lang w:val="en-US"/>
        </w:rPr>
        <w:t>Sensing storage entity:</w:t>
      </w:r>
      <w:r w:rsidR="008172D5" w:rsidRPr="008172D5">
        <w:rPr>
          <w:lang w:val="en-US"/>
        </w:rPr>
        <w:t xml:space="preserve"> </w:t>
      </w:r>
      <w:r w:rsidR="008172D5">
        <w:rPr>
          <w:lang w:val="en-US"/>
        </w:rPr>
        <w:t xml:space="preserve">It is the entity which stores the sensing result for future </w:t>
      </w:r>
      <w:r w:rsidR="00D67AAF">
        <w:rPr>
          <w:lang w:val="en-US"/>
        </w:rPr>
        <w:t>tasks</w:t>
      </w:r>
      <w:r w:rsidR="008172D5">
        <w:rPr>
          <w:lang w:val="en-US"/>
        </w:rPr>
        <w:t xml:space="preserve"> including the sensing related analytics estimation, sensing result storage for future usage etc. </w:t>
      </w:r>
    </w:p>
    <w:p w14:paraId="45D8E9ED" w14:textId="31730B34" w:rsidR="00903B46" w:rsidRDefault="00903B46" w:rsidP="00903B46">
      <w:pPr>
        <w:rPr>
          <w:lang w:val="en-US"/>
        </w:rPr>
      </w:pPr>
      <w:r w:rsidRPr="00D67AAF">
        <w:rPr>
          <w:b/>
          <w:bCs/>
          <w:lang w:val="en-US"/>
        </w:rPr>
        <w:t>Proposal 1:</w:t>
      </w:r>
      <w:r>
        <w:rPr>
          <w:lang w:val="en-US"/>
        </w:rPr>
        <w:t xml:space="preserve"> </w:t>
      </w:r>
      <w:r w:rsidR="00D67AAF">
        <w:rPr>
          <w:lang w:val="en-US"/>
        </w:rPr>
        <w:t>The network architecture for ISAC includes the following components</w:t>
      </w:r>
    </w:p>
    <w:p w14:paraId="77CF617C" w14:textId="1B7BFC6B" w:rsidR="00D67AAF" w:rsidRPr="00D67AAF" w:rsidRDefault="00D67AAF" w:rsidP="00D67AAF">
      <w:pPr>
        <w:pStyle w:val="ListParagraph"/>
        <w:numPr>
          <w:ilvl w:val="0"/>
          <w:numId w:val="18"/>
        </w:numPr>
        <w:rPr>
          <w:lang w:val="en-US"/>
        </w:rPr>
      </w:pPr>
      <w:r w:rsidRPr="00D67AAF">
        <w:rPr>
          <w:lang w:val="en-US"/>
        </w:rPr>
        <w:t>External Client</w:t>
      </w:r>
    </w:p>
    <w:p w14:paraId="06C09C9F" w14:textId="6C3B7E21" w:rsidR="00D67AAF" w:rsidRPr="00D67AAF" w:rsidRDefault="00D67AAF" w:rsidP="00D67AAF">
      <w:pPr>
        <w:pStyle w:val="ListParagraph"/>
        <w:numPr>
          <w:ilvl w:val="0"/>
          <w:numId w:val="18"/>
        </w:numPr>
        <w:rPr>
          <w:lang w:val="en-US"/>
        </w:rPr>
      </w:pPr>
      <w:r w:rsidRPr="00D67AAF">
        <w:rPr>
          <w:lang w:val="en-US"/>
        </w:rPr>
        <w:t>NEF</w:t>
      </w:r>
    </w:p>
    <w:p w14:paraId="003324BA" w14:textId="43791594" w:rsidR="00D67AAF" w:rsidRPr="00D67AAF" w:rsidRDefault="00D67AAF" w:rsidP="00D67AAF">
      <w:pPr>
        <w:pStyle w:val="ListParagraph"/>
        <w:numPr>
          <w:ilvl w:val="0"/>
          <w:numId w:val="18"/>
        </w:numPr>
        <w:rPr>
          <w:lang w:val="en-US"/>
        </w:rPr>
      </w:pPr>
      <w:r w:rsidRPr="00D67AAF">
        <w:rPr>
          <w:lang w:val="en-US"/>
        </w:rPr>
        <w:t>SeMF</w:t>
      </w:r>
    </w:p>
    <w:p w14:paraId="7A84A986" w14:textId="02E9041D" w:rsidR="00D67AAF" w:rsidRPr="00D67AAF" w:rsidRDefault="00D67AAF" w:rsidP="00D67AAF">
      <w:pPr>
        <w:pStyle w:val="ListParagraph"/>
        <w:numPr>
          <w:ilvl w:val="0"/>
          <w:numId w:val="18"/>
        </w:numPr>
        <w:rPr>
          <w:lang w:val="en-US"/>
        </w:rPr>
      </w:pPr>
      <w:r w:rsidRPr="00D67AAF">
        <w:rPr>
          <w:lang w:val="en-US"/>
        </w:rPr>
        <w:t>AMF</w:t>
      </w:r>
    </w:p>
    <w:p w14:paraId="30E7D199" w14:textId="448127BB" w:rsidR="00D67AAF" w:rsidRPr="00D67AAF" w:rsidRDefault="00D67AAF" w:rsidP="00D67AAF">
      <w:pPr>
        <w:pStyle w:val="ListParagraph"/>
        <w:numPr>
          <w:ilvl w:val="0"/>
          <w:numId w:val="18"/>
        </w:numPr>
        <w:rPr>
          <w:lang w:val="en-US"/>
        </w:rPr>
      </w:pPr>
      <w:r w:rsidRPr="00D67AAF">
        <w:rPr>
          <w:lang w:val="en-US"/>
        </w:rPr>
        <w:t>NG-RAN</w:t>
      </w:r>
    </w:p>
    <w:p w14:paraId="45A0C77E" w14:textId="767FAF7B" w:rsidR="00D67AAF" w:rsidRPr="00D67AAF" w:rsidRDefault="00D67AAF" w:rsidP="00D67AAF">
      <w:pPr>
        <w:pStyle w:val="ListParagraph"/>
        <w:numPr>
          <w:ilvl w:val="0"/>
          <w:numId w:val="18"/>
        </w:numPr>
        <w:rPr>
          <w:lang w:val="en-US"/>
        </w:rPr>
      </w:pPr>
      <w:r w:rsidRPr="00D67AAF">
        <w:rPr>
          <w:lang w:val="en-US"/>
        </w:rPr>
        <w:t>Sensing storage entity</w:t>
      </w:r>
    </w:p>
    <w:p w14:paraId="5CE52CD3" w14:textId="5A45B630" w:rsidR="00D67AAF" w:rsidRDefault="00D67AAF" w:rsidP="00D67AAF">
      <w:pPr>
        <w:rPr>
          <w:lang w:val="en-US"/>
        </w:rPr>
      </w:pPr>
      <w:r w:rsidRPr="00D67AAF">
        <w:rPr>
          <w:b/>
          <w:bCs/>
          <w:lang w:val="en-US"/>
        </w:rPr>
        <w:t>Proposal 2:</w:t>
      </w:r>
      <w:r>
        <w:rPr>
          <w:lang w:val="en-US"/>
        </w:rPr>
        <w:t xml:space="preserve"> For ISAC network architecture, consider figure 1 as baseline.</w:t>
      </w:r>
    </w:p>
    <w:p w14:paraId="61A06D73" w14:textId="5BA6A520" w:rsidR="00D16FF1" w:rsidRDefault="008172D5" w:rsidP="00903B46">
      <w:pPr>
        <w:pStyle w:val="Heading1"/>
        <w:numPr>
          <w:ilvl w:val="0"/>
          <w:numId w:val="13"/>
        </w:numPr>
        <w:ind w:left="360"/>
      </w:pPr>
      <w:r w:rsidRPr="00903B46">
        <w:t>Impact on RAN-CN interfaces from RAN perspective:</w:t>
      </w:r>
    </w:p>
    <w:p w14:paraId="64B01146" w14:textId="29FD2448" w:rsidR="00903B46" w:rsidRDefault="00903B46" w:rsidP="00903B46">
      <w:r>
        <w:t>NG-RAN can be configured to transfer the sensing data using control plane and/or data plane. SA 2 is discussion this in the TR 23.700-14 KI#4. From RAN perspective the impacted interface</w:t>
      </w:r>
      <w:r w:rsidR="00D67AAF">
        <w:t>s</w:t>
      </w:r>
      <w:r>
        <w:t xml:space="preserve"> </w:t>
      </w:r>
      <w:r w:rsidR="00D67AAF">
        <w:t>are</w:t>
      </w:r>
      <w:r>
        <w:t xml:space="preserve"> NG-C (N2), NG-U (N3 or new interface), Xn to coordinate between RANs and sensing measurement component within NR-RAN.</w:t>
      </w:r>
    </w:p>
    <w:p w14:paraId="69A1E716" w14:textId="136B0610" w:rsidR="008172D5" w:rsidRPr="00790A20" w:rsidRDefault="00903B46" w:rsidP="008172D5">
      <w:r w:rsidRPr="00D67AAF">
        <w:rPr>
          <w:b/>
          <w:bCs/>
        </w:rPr>
        <w:t>Proposal</w:t>
      </w:r>
      <w:r w:rsidR="00D67AAF" w:rsidRPr="00D67AAF">
        <w:rPr>
          <w:b/>
          <w:bCs/>
        </w:rPr>
        <w:t xml:space="preserve"> 3</w:t>
      </w:r>
      <w:r w:rsidRPr="00D67AAF">
        <w:rPr>
          <w:b/>
          <w:bCs/>
        </w:rPr>
        <w:t>:</w:t>
      </w:r>
      <w:r>
        <w:t xml:space="preserve">  </w:t>
      </w:r>
      <w:r w:rsidR="008172D5" w:rsidRPr="00790A20">
        <w:t xml:space="preserve">From RAN perspective the support of </w:t>
      </w:r>
      <w:r w:rsidR="008172D5">
        <w:t xml:space="preserve">sensing </w:t>
      </w:r>
      <w:r w:rsidR="008172D5" w:rsidRPr="00790A20">
        <w:t>functionality in NG-RAN impacts:</w:t>
      </w:r>
    </w:p>
    <w:p w14:paraId="18E3552C" w14:textId="3BFC1F20" w:rsidR="008172D5" w:rsidRPr="00D67AAF" w:rsidRDefault="008172D5" w:rsidP="008172D5">
      <w:pPr>
        <w:pStyle w:val="B1"/>
        <w:rPr>
          <w:rFonts w:asciiTheme="minorHAnsi" w:eastAsiaTheme="minorEastAsia" w:hAnsiTheme="minorHAnsi" w:cstheme="minorBidi"/>
          <w:sz w:val="22"/>
          <w:szCs w:val="22"/>
          <w:lang w:val="en-IN"/>
        </w:rPr>
      </w:pPr>
      <w:r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>-</w:t>
      </w:r>
      <w:r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ab/>
        <w:t xml:space="preserve">NG-C interface: </w:t>
      </w:r>
      <w:r w:rsidR="00903B46"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>signaling</w:t>
      </w:r>
      <w:r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 xml:space="preserve"> between NG-RAN and AMF </w:t>
      </w:r>
    </w:p>
    <w:p w14:paraId="032B34F3" w14:textId="1C6A24D9" w:rsidR="008172D5" w:rsidRPr="00D67AAF" w:rsidRDefault="008172D5" w:rsidP="008172D5">
      <w:pPr>
        <w:pStyle w:val="B1"/>
        <w:rPr>
          <w:rFonts w:asciiTheme="minorHAnsi" w:eastAsiaTheme="minorEastAsia" w:hAnsiTheme="minorHAnsi" w:cstheme="minorBidi"/>
          <w:sz w:val="22"/>
          <w:szCs w:val="22"/>
          <w:lang w:val="en-IN"/>
        </w:rPr>
      </w:pPr>
      <w:r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>-</w:t>
      </w:r>
      <w:r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ab/>
        <w:t>NG-</w:t>
      </w:r>
      <w:r w:rsidR="00903B46"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>U</w:t>
      </w:r>
      <w:r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 xml:space="preserve"> interface: to support the sensing protocol between NG-RAN and SeMF if decided to use direct NG-U equivalent interface</w:t>
      </w:r>
      <w:r w:rsidR="00903B46"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>. This may be N3 or a new interface.</w:t>
      </w:r>
    </w:p>
    <w:p w14:paraId="76906469" w14:textId="6C27AB8A" w:rsidR="008172D5" w:rsidRPr="00D67AAF" w:rsidRDefault="008172D5" w:rsidP="008172D5">
      <w:pPr>
        <w:pStyle w:val="B1"/>
        <w:rPr>
          <w:rFonts w:asciiTheme="minorHAnsi" w:eastAsiaTheme="minorEastAsia" w:hAnsiTheme="minorHAnsi" w:cstheme="minorBidi"/>
          <w:sz w:val="22"/>
          <w:szCs w:val="22"/>
          <w:lang w:val="en-IN"/>
        </w:rPr>
      </w:pPr>
      <w:r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>-</w:t>
      </w:r>
      <w:r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ab/>
        <w:t>Protocol/</w:t>
      </w:r>
      <w:r w:rsidR="00903B46"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>signaling</w:t>
      </w:r>
      <w:r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 xml:space="preserve"> between NG-</w:t>
      </w:r>
      <w:proofErr w:type="gramStart"/>
      <w:r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>RANs;</w:t>
      </w:r>
      <w:proofErr w:type="gramEnd"/>
      <w:r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 xml:space="preserve">  </w:t>
      </w:r>
    </w:p>
    <w:p w14:paraId="1C691080" w14:textId="138C9DCE" w:rsidR="008172D5" w:rsidRPr="00D67AAF" w:rsidRDefault="008172D5" w:rsidP="008172D5">
      <w:pPr>
        <w:pStyle w:val="B1"/>
        <w:rPr>
          <w:rFonts w:asciiTheme="minorHAnsi" w:eastAsiaTheme="minorEastAsia" w:hAnsiTheme="minorHAnsi" w:cstheme="minorBidi"/>
          <w:sz w:val="22"/>
          <w:szCs w:val="22"/>
          <w:lang w:val="en-IN"/>
        </w:rPr>
      </w:pPr>
      <w:r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>-</w:t>
      </w:r>
      <w:r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ab/>
        <w:t xml:space="preserve">Architecture of sensing management </w:t>
      </w:r>
      <w:r w:rsidR="00903B46"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>components</w:t>
      </w:r>
      <w:r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 xml:space="preserve"> within NG-</w:t>
      </w:r>
      <w:proofErr w:type="gramStart"/>
      <w:r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>RAN;</w:t>
      </w:r>
      <w:proofErr w:type="gramEnd"/>
    </w:p>
    <w:p w14:paraId="21CFA3F3" w14:textId="16669154" w:rsidR="005B3D8B" w:rsidRPr="00145AAC" w:rsidRDefault="00F06FB5" w:rsidP="00F06FB5">
      <w:pPr>
        <w:pStyle w:val="Heading1"/>
        <w:numPr>
          <w:ilvl w:val="0"/>
          <w:numId w:val="13"/>
        </w:numPr>
        <w:pBdr>
          <w:top w:val="single" w:sz="12" w:space="1" w:color="auto"/>
        </w:pBdr>
        <w:ind w:left="360"/>
      </w:pPr>
      <w:r>
        <w:t>Conclusion</w:t>
      </w:r>
    </w:p>
    <w:p w14:paraId="261398DA" w14:textId="1B079080" w:rsidR="003124EE" w:rsidRDefault="00D67AAF" w:rsidP="00740B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contribution provides the network architecture based on SA2 architecture related discussions. The contribution provides following proposals for the discussion.</w:t>
      </w:r>
    </w:p>
    <w:p w14:paraId="2B0FCC56" w14:textId="77777777" w:rsidR="00D67AAF" w:rsidRDefault="00D67AAF" w:rsidP="00D67AAF">
      <w:pPr>
        <w:rPr>
          <w:lang w:val="en-US"/>
        </w:rPr>
      </w:pPr>
      <w:r w:rsidRPr="00D67AAF">
        <w:rPr>
          <w:b/>
          <w:bCs/>
          <w:lang w:val="en-US"/>
        </w:rPr>
        <w:t>Proposal 1:</w:t>
      </w:r>
      <w:r>
        <w:rPr>
          <w:lang w:val="en-US"/>
        </w:rPr>
        <w:t xml:space="preserve"> The network architecture for ISAC includes the following components</w:t>
      </w:r>
    </w:p>
    <w:p w14:paraId="181EDA6F" w14:textId="77777777" w:rsidR="00D67AAF" w:rsidRPr="00D67AAF" w:rsidRDefault="00D67AAF" w:rsidP="00D67AAF">
      <w:pPr>
        <w:pStyle w:val="ListParagraph"/>
        <w:numPr>
          <w:ilvl w:val="0"/>
          <w:numId w:val="19"/>
        </w:numPr>
        <w:rPr>
          <w:lang w:val="en-US"/>
        </w:rPr>
      </w:pPr>
      <w:r w:rsidRPr="00D67AAF">
        <w:rPr>
          <w:lang w:val="en-US"/>
        </w:rPr>
        <w:lastRenderedPageBreak/>
        <w:t>External Client</w:t>
      </w:r>
    </w:p>
    <w:p w14:paraId="72AE89F8" w14:textId="77777777" w:rsidR="00D67AAF" w:rsidRPr="00D67AAF" w:rsidRDefault="00D67AAF" w:rsidP="00D67AAF">
      <w:pPr>
        <w:pStyle w:val="ListParagraph"/>
        <w:numPr>
          <w:ilvl w:val="0"/>
          <w:numId w:val="19"/>
        </w:numPr>
        <w:rPr>
          <w:lang w:val="en-US"/>
        </w:rPr>
      </w:pPr>
      <w:r w:rsidRPr="00D67AAF">
        <w:rPr>
          <w:lang w:val="en-US"/>
        </w:rPr>
        <w:t>NEF</w:t>
      </w:r>
    </w:p>
    <w:p w14:paraId="2CEFF165" w14:textId="77777777" w:rsidR="00D67AAF" w:rsidRPr="00D67AAF" w:rsidRDefault="00D67AAF" w:rsidP="00D67AAF">
      <w:pPr>
        <w:pStyle w:val="ListParagraph"/>
        <w:numPr>
          <w:ilvl w:val="0"/>
          <w:numId w:val="19"/>
        </w:numPr>
        <w:rPr>
          <w:lang w:val="en-US"/>
        </w:rPr>
      </w:pPr>
      <w:r w:rsidRPr="00D67AAF">
        <w:rPr>
          <w:lang w:val="en-US"/>
        </w:rPr>
        <w:t>SeMF</w:t>
      </w:r>
    </w:p>
    <w:p w14:paraId="0C0C84BD" w14:textId="77777777" w:rsidR="00D67AAF" w:rsidRPr="00D67AAF" w:rsidRDefault="00D67AAF" w:rsidP="00D67AAF">
      <w:pPr>
        <w:pStyle w:val="ListParagraph"/>
        <w:numPr>
          <w:ilvl w:val="0"/>
          <w:numId w:val="19"/>
        </w:numPr>
        <w:rPr>
          <w:lang w:val="en-US"/>
        </w:rPr>
      </w:pPr>
      <w:r w:rsidRPr="00D67AAF">
        <w:rPr>
          <w:lang w:val="en-US"/>
        </w:rPr>
        <w:t>AMF</w:t>
      </w:r>
    </w:p>
    <w:p w14:paraId="574D005B" w14:textId="77777777" w:rsidR="00D67AAF" w:rsidRPr="00D67AAF" w:rsidRDefault="00D67AAF" w:rsidP="00D67AAF">
      <w:pPr>
        <w:pStyle w:val="ListParagraph"/>
        <w:numPr>
          <w:ilvl w:val="0"/>
          <w:numId w:val="19"/>
        </w:numPr>
        <w:rPr>
          <w:lang w:val="en-US"/>
        </w:rPr>
      </w:pPr>
      <w:r w:rsidRPr="00D67AAF">
        <w:rPr>
          <w:lang w:val="en-US"/>
        </w:rPr>
        <w:t>NG-RAN</w:t>
      </w:r>
    </w:p>
    <w:p w14:paraId="401377A7" w14:textId="77777777" w:rsidR="00D67AAF" w:rsidRPr="00D67AAF" w:rsidRDefault="00D67AAF" w:rsidP="00D67AAF">
      <w:pPr>
        <w:pStyle w:val="ListParagraph"/>
        <w:numPr>
          <w:ilvl w:val="0"/>
          <w:numId w:val="19"/>
        </w:numPr>
        <w:rPr>
          <w:lang w:val="en-US"/>
        </w:rPr>
      </w:pPr>
      <w:r w:rsidRPr="00D67AAF">
        <w:rPr>
          <w:lang w:val="en-US"/>
        </w:rPr>
        <w:t>Sensing storage entity</w:t>
      </w:r>
    </w:p>
    <w:p w14:paraId="5A7641AA" w14:textId="583C3F0A" w:rsidR="00D67AAF" w:rsidRPr="00D67AAF" w:rsidRDefault="00D67AAF" w:rsidP="00D67AAF">
      <w:pPr>
        <w:rPr>
          <w:lang w:val="en-US"/>
        </w:rPr>
      </w:pPr>
      <w:r w:rsidRPr="00D67AAF">
        <w:rPr>
          <w:b/>
          <w:bCs/>
          <w:lang w:val="en-US"/>
        </w:rPr>
        <w:t>Proposal 2:</w:t>
      </w:r>
      <w:r>
        <w:rPr>
          <w:lang w:val="en-US"/>
        </w:rPr>
        <w:t xml:space="preserve"> For ISAC network architecture, consider figure 1 as baseline. </w:t>
      </w:r>
      <w:r w:rsidRPr="00D16FF1"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19F5F5BF" wp14:editId="0BE16E2A">
            <wp:simplePos x="0" y="0"/>
            <wp:positionH relativeFrom="margin">
              <wp:posOffset>0</wp:posOffset>
            </wp:positionH>
            <wp:positionV relativeFrom="paragraph">
              <wp:posOffset>316865</wp:posOffset>
            </wp:positionV>
            <wp:extent cx="4502150" cy="2344420"/>
            <wp:effectExtent l="0" t="0" r="0" b="0"/>
            <wp:wrapTopAndBottom/>
            <wp:docPr id="899644749" name="Picture 6" descr="A group of white squares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33650" name="Picture 6" descr="A group of white squares with black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0" cy="234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7BC7A8" w14:textId="77777777" w:rsidR="00D67AAF" w:rsidRDefault="00D67AAF" w:rsidP="00D67AAF">
      <w:pPr>
        <w:jc w:val="center"/>
        <w:rPr>
          <w:lang w:val="en-US"/>
        </w:rPr>
      </w:pPr>
      <w:r>
        <w:rPr>
          <w:lang w:val="en-US"/>
        </w:rPr>
        <w:t>Figure 1: Network architecture for ISAC</w:t>
      </w:r>
    </w:p>
    <w:p w14:paraId="51CEC39C" w14:textId="248BDA75" w:rsidR="00D67AAF" w:rsidRPr="00790A20" w:rsidRDefault="00D67AAF" w:rsidP="00D67AAF">
      <w:r w:rsidRPr="00D67AAF">
        <w:rPr>
          <w:b/>
          <w:bCs/>
        </w:rPr>
        <w:t>Proposal 3:</w:t>
      </w:r>
      <w:r>
        <w:t xml:space="preserve">  </w:t>
      </w:r>
      <w:r w:rsidRPr="00790A20">
        <w:t xml:space="preserve">From RAN perspective the support of </w:t>
      </w:r>
      <w:r>
        <w:t xml:space="preserve">sensing </w:t>
      </w:r>
      <w:r w:rsidRPr="00790A20">
        <w:t>functionality in NG-RAN impacts:</w:t>
      </w:r>
    </w:p>
    <w:p w14:paraId="04331FE7" w14:textId="77777777" w:rsidR="00D67AAF" w:rsidRPr="00D67AAF" w:rsidRDefault="00D67AAF" w:rsidP="00D67AAF">
      <w:pPr>
        <w:pStyle w:val="B1"/>
        <w:rPr>
          <w:rFonts w:asciiTheme="minorHAnsi" w:eastAsiaTheme="minorEastAsia" w:hAnsiTheme="minorHAnsi" w:cstheme="minorBidi"/>
          <w:sz w:val="22"/>
          <w:szCs w:val="22"/>
          <w:lang w:val="en-IN"/>
        </w:rPr>
      </w:pPr>
      <w:r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>-</w:t>
      </w:r>
      <w:r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ab/>
        <w:t xml:space="preserve">NG-C interface: signaling between NG-RAN and AMF </w:t>
      </w:r>
    </w:p>
    <w:p w14:paraId="385B876F" w14:textId="77777777" w:rsidR="00D67AAF" w:rsidRPr="00D67AAF" w:rsidRDefault="00D67AAF" w:rsidP="00D67AAF">
      <w:pPr>
        <w:pStyle w:val="B1"/>
        <w:rPr>
          <w:rFonts w:asciiTheme="minorHAnsi" w:eastAsiaTheme="minorEastAsia" w:hAnsiTheme="minorHAnsi" w:cstheme="minorBidi"/>
          <w:sz w:val="22"/>
          <w:szCs w:val="22"/>
          <w:lang w:val="en-IN"/>
        </w:rPr>
      </w:pPr>
      <w:r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>-</w:t>
      </w:r>
      <w:r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ab/>
        <w:t>NG-U interface: to support the sensing protocol between NG-RAN and SeMF if decided to use direct NG-U equivalent interface. This may be N3 or a new interface.</w:t>
      </w:r>
    </w:p>
    <w:p w14:paraId="2A676EBD" w14:textId="77777777" w:rsidR="00D67AAF" w:rsidRPr="00D67AAF" w:rsidRDefault="00D67AAF" w:rsidP="00D67AAF">
      <w:pPr>
        <w:pStyle w:val="B1"/>
        <w:rPr>
          <w:rFonts w:asciiTheme="minorHAnsi" w:eastAsiaTheme="minorEastAsia" w:hAnsiTheme="minorHAnsi" w:cstheme="minorBidi"/>
          <w:sz w:val="22"/>
          <w:szCs w:val="22"/>
          <w:lang w:val="en-IN"/>
        </w:rPr>
      </w:pPr>
      <w:r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>-</w:t>
      </w:r>
      <w:r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ab/>
        <w:t>Protocol/signaling between NG-</w:t>
      </w:r>
      <w:proofErr w:type="gramStart"/>
      <w:r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>RANs;</w:t>
      </w:r>
      <w:proofErr w:type="gramEnd"/>
      <w:r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 xml:space="preserve">  </w:t>
      </w:r>
    </w:p>
    <w:p w14:paraId="5D101217" w14:textId="77777777" w:rsidR="00D67AAF" w:rsidRPr="00D67AAF" w:rsidRDefault="00D67AAF" w:rsidP="00D67AAF">
      <w:pPr>
        <w:pStyle w:val="B1"/>
        <w:rPr>
          <w:rFonts w:asciiTheme="minorHAnsi" w:eastAsiaTheme="minorEastAsia" w:hAnsiTheme="minorHAnsi" w:cstheme="minorBidi"/>
          <w:sz w:val="22"/>
          <w:szCs w:val="22"/>
          <w:lang w:val="en-IN"/>
        </w:rPr>
      </w:pPr>
      <w:r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>-</w:t>
      </w:r>
      <w:r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ab/>
        <w:t>Architecture of sensing management components within NG-</w:t>
      </w:r>
      <w:proofErr w:type="gramStart"/>
      <w:r w:rsidRPr="00D67AAF">
        <w:rPr>
          <w:rFonts w:asciiTheme="minorHAnsi" w:eastAsiaTheme="minorEastAsia" w:hAnsiTheme="minorHAnsi" w:cstheme="minorBidi"/>
          <w:sz w:val="22"/>
          <w:szCs w:val="22"/>
          <w:lang w:val="en-IN"/>
        </w:rPr>
        <w:t>RAN;</w:t>
      </w:r>
      <w:proofErr w:type="gramEnd"/>
    </w:p>
    <w:p w14:paraId="18961152" w14:textId="77777777" w:rsidR="002D0DDC" w:rsidRPr="002D0DDC" w:rsidRDefault="002D0DDC" w:rsidP="00F06FB5">
      <w:pPr>
        <w:pStyle w:val="Heading1"/>
        <w:numPr>
          <w:ilvl w:val="0"/>
          <w:numId w:val="13"/>
        </w:numPr>
        <w:pBdr>
          <w:top w:val="single" w:sz="12" w:space="1" w:color="auto"/>
        </w:pBdr>
        <w:ind w:left="360"/>
      </w:pPr>
      <w:r w:rsidRPr="002D0DDC">
        <w:t>References</w:t>
      </w:r>
    </w:p>
    <w:p w14:paraId="494B6B6C" w14:textId="353AB070" w:rsidR="00535A7C" w:rsidRDefault="002D0DDC" w:rsidP="00535A7C">
      <w:pPr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3461CF">
        <w:rPr>
          <w:rFonts w:ascii="Times New Roman" w:hAnsi="Times New Roman" w:cs="Times New Roman"/>
          <w:sz w:val="24"/>
          <w:szCs w:val="24"/>
        </w:rPr>
        <w:t>[1] RP-</w:t>
      </w:r>
      <w:r w:rsidR="00535A7C" w:rsidRPr="00535A7C">
        <w:rPr>
          <w:rFonts w:ascii="Times New Roman" w:hAnsi="Times New Roman" w:cs="Times New Roman"/>
          <w:sz w:val="24"/>
          <w:szCs w:val="24"/>
        </w:rPr>
        <w:t>252819</w:t>
      </w:r>
      <w:r w:rsidRPr="003461CF">
        <w:rPr>
          <w:rFonts w:ascii="Times New Roman" w:hAnsi="Times New Roman" w:cs="Times New Roman"/>
          <w:sz w:val="24"/>
          <w:szCs w:val="24"/>
        </w:rPr>
        <w:t xml:space="preserve">: </w:t>
      </w:r>
      <w:r w:rsidR="00535A7C" w:rsidRPr="00535A7C">
        <w:rPr>
          <w:rFonts w:ascii="Times New Roman" w:hAnsi="Times New Roman" w:cs="Times New Roman"/>
          <w:sz w:val="24"/>
          <w:szCs w:val="24"/>
        </w:rPr>
        <w:t>Revised SID: Study on Integrated Sensing and Communication (ISAC) for NR</w:t>
      </w:r>
    </w:p>
    <w:p w14:paraId="574FBA5A" w14:textId="41DBFA40" w:rsidR="002D0DDC" w:rsidRPr="00481EE5" w:rsidRDefault="002D0DDC" w:rsidP="002D0DDC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 w:rsidRPr="003461CF">
        <w:rPr>
          <w:rFonts w:ascii="Times New Roman" w:hAnsi="Times New Roman" w:cs="Times New Roman"/>
          <w:sz w:val="24"/>
          <w:szCs w:val="24"/>
        </w:rPr>
        <w:t xml:space="preserve">[2] </w:t>
      </w:r>
      <w:r w:rsidR="00535A7C" w:rsidRPr="00567FBB">
        <w:rPr>
          <w:rFonts w:ascii="Times New Roman" w:hAnsi="Times New Roman" w:cs="Times New Roman"/>
          <w:sz w:val="24"/>
          <w:szCs w:val="24"/>
        </w:rPr>
        <w:t xml:space="preserve">TR </w:t>
      </w:r>
      <w:proofErr w:type="gramStart"/>
      <w:r w:rsidR="00535A7C" w:rsidRPr="00567FBB">
        <w:rPr>
          <w:rFonts w:ascii="Times New Roman" w:hAnsi="Times New Roman" w:cs="Times New Roman"/>
          <w:sz w:val="24"/>
          <w:szCs w:val="24"/>
        </w:rPr>
        <w:t>22.837</w:t>
      </w:r>
      <w:r w:rsidR="00535A7C">
        <w:rPr>
          <w:rFonts w:ascii="Times New Roman" w:hAnsi="Times New Roman" w:cs="Times New Roman"/>
          <w:sz w:val="24"/>
          <w:szCs w:val="24"/>
        </w:rPr>
        <w:t xml:space="preserve"> </w:t>
      </w:r>
      <w:r w:rsidRPr="003461CF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3461CF">
        <w:rPr>
          <w:rFonts w:ascii="Times New Roman" w:hAnsi="Times New Roman" w:cs="Times New Roman"/>
          <w:sz w:val="24"/>
          <w:szCs w:val="24"/>
        </w:rPr>
        <w:t xml:space="preserve"> </w:t>
      </w:r>
      <w:r w:rsidR="00481EE5" w:rsidRPr="00481EE5">
        <w:rPr>
          <w:rFonts w:ascii="Times New Roman" w:hAnsi="Times New Roman" w:cs="Times New Roman"/>
          <w:sz w:val="24"/>
          <w:szCs w:val="24"/>
        </w:rPr>
        <w:t>Feasibility Study on Integrated Sensing and Communication</w:t>
      </w:r>
      <w:r w:rsidR="00481EE5">
        <w:rPr>
          <w:rFonts w:ascii="Times New Roman" w:hAnsi="Times New Roman" w:cs="Times New Roman"/>
          <w:sz w:val="24"/>
          <w:szCs w:val="24"/>
        </w:rPr>
        <w:t xml:space="preserve"> (Stage 1)</w:t>
      </w:r>
    </w:p>
    <w:p w14:paraId="6C396820" w14:textId="6AAA14F7" w:rsidR="006A1CDF" w:rsidRPr="006A1CDF" w:rsidRDefault="002D0DDC" w:rsidP="006A1C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61CF">
        <w:rPr>
          <w:rFonts w:ascii="Times New Roman" w:hAnsi="Times New Roman" w:cs="Times New Roman"/>
          <w:sz w:val="24"/>
          <w:szCs w:val="24"/>
        </w:rPr>
        <w:t>[</w:t>
      </w:r>
      <w:r w:rsidR="00535A7C">
        <w:rPr>
          <w:rFonts w:ascii="Times New Roman" w:hAnsi="Times New Roman" w:cs="Times New Roman"/>
          <w:sz w:val="24"/>
          <w:szCs w:val="24"/>
        </w:rPr>
        <w:t>3</w:t>
      </w:r>
      <w:r w:rsidRPr="003461CF">
        <w:rPr>
          <w:rFonts w:ascii="Times New Roman" w:hAnsi="Times New Roman" w:cs="Times New Roman"/>
          <w:sz w:val="24"/>
          <w:szCs w:val="24"/>
        </w:rPr>
        <w:t xml:space="preserve">] </w:t>
      </w:r>
      <w:r w:rsidR="00535A7C" w:rsidRPr="00567FBB">
        <w:rPr>
          <w:rFonts w:ascii="Times New Roman" w:hAnsi="Times New Roman" w:cs="Times New Roman"/>
          <w:sz w:val="24"/>
          <w:szCs w:val="24"/>
        </w:rPr>
        <w:t xml:space="preserve">TS </w:t>
      </w:r>
      <w:proofErr w:type="gramStart"/>
      <w:r w:rsidR="00535A7C" w:rsidRPr="00567FBB">
        <w:rPr>
          <w:rFonts w:ascii="Times New Roman" w:hAnsi="Times New Roman" w:cs="Times New Roman"/>
          <w:sz w:val="24"/>
          <w:szCs w:val="24"/>
        </w:rPr>
        <w:t>22.137</w:t>
      </w:r>
      <w:r w:rsidR="00535A7C">
        <w:rPr>
          <w:rFonts w:ascii="Times New Roman" w:hAnsi="Times New Roman" w:cs="Times New Roman"/>
          <w:sz w:val="24"/>
          <w:szCs w:val="24"/>
        </w:rPr>
        <w:t xml:space="preserve"> </w:t>
      </w:r>
      <w:r w:rsidRPr="003461CF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3461CF">
        <w:rPr>
          <w:rFonts w:ascii="Times New Roman" w:hAnsi="Times New Roman" w:cs="Times New Roman"/>
          <w:sz w:val="24"/>
          <w:szCs w:val="24"/>
        </w:rPr>
        <w:t xml:space="preserve"> </w:t>
      </w:r>
      <w:r w:rsidR="006A1CDF" w:rsidRPr="006A1CDF">
        <w:rPr>
          <w:rFonts w:ascii="Times New Roman" w:hAnsi="Times New Roman" w:cs="Times New Roman"/>
          <w:sz w:val="24"/>
          <w:szCs w:val="24"/>
        </w:rPr>
        <w:t xml:space="preserve">Service requirements for Integrated Sensing and </w:t>
      </w:r>
      <w:r w:rsidR="006869E2" w:rsidRPr="006A1CDF">
        <w:rPr>
          <w:rFonts w:ascii="Times New Roman" w:hAnsi="Times New Roman" w:cs="Times New Roman"/>
          <w:sz w:val="24"/>
          <w:szCs w:val="24"/>
        </w:rPr>
        <w:t>Communication.</w:t>
      </w:r>
    </w:p>
    <w:p w14:paraId="495DCB36" w14:textId="2576CDD8" w:rsidR="002D0DDC" w:rsidRPr="003461CF" w:rsidRDefault="006A1CDF" w:rsidP="006A1CDF">
      <w:pPr>
        <w:spacing w:after="0"/>
        <w:ind w:left="720" w:hanging="360"/>
        <w:rPr>
          <w:rFonts w:ascii="Times New Roman" w:hAnsi="Times New Roman" w:cs="Times New Roman"/>
          <w:sz w:val="24"/>
          <w:szCs w:val="24"/>
        </w:rPr>
      </w:pPr>
      <w:r w:rsidRPr="006A1CDF">
        <w:rPr>
          <w:rFonts w:ascii="Times New Roman" w:hAnsi="Times New Roman" w:cs="Times New Roman"/>
          <w:sz w:val="24"/>
          <w:szCs w:val="24"/>
        </w:rPr>
        <w:t>Stage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1CDF">
        <w:rPr>
          <w:rFonts w:ascii="Times New Roman" w:hAnsi="Times New Roman" w:cs="Times New Roman"/>
          <w:sz w:val="24"/>
          <w:szCs w:val="24"/>
        </w:rPr>
        <w:t>(Release 19)</w:t>
      </w:r>
    </w:p>
    <w:p w14:paraId="2E49C3CA" w14:textId="27B17228" w:rsidR="002D0DDC" w:rsidRPr="006A1CDF" w:rsidRDefault="002D0DDC" w:rsidP="006869E2">
      <w:pPr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3461CF">
        <w:rPr>
          <w:rFonts w:ascii="Times New Roman" w:hAnsi="Times New Roman" w:cs="Times New Roman"/>
          <w:sz w:val="24"/>
          <w:szCs w:val="24"/>
        </w:rPr>
        <w:t>[</w:t>
      </w:r>
      <w:r w:rsidR="00535A7C">
        <w:rPr>
          <w:rFonts w:ascii="Times New Roman" w:hAnsi="Times New Roman" w:cs="Times New Roman"/>
          <w:sz w:val="24"/>
          <w:szCs w:val="24"/>
        </w:rPr>
        <w:t>4]</w:t>
      </w:r>
      <w:r w:rsidRPr="003461CF">
        <w:rPr>
          <w:rFonts w:ascii="Times New Roman" w:hAnsi="Times New Roman" w:cs="Times New Roman"/>
          <w:sz w:val="24"/>
          <w:szCs w:val="24"/>
        </w:rPr>
        <w:t xml:space="preserve"> TR </w:t>
      </w:r>
      <w:proofErr w:type="gramStart"/>
      <w:r w:rsidR="00CD5216" w:rsidRPr="003461CF">
        <w:rPr>
          <w:rFonts w:ascii="Times New Roman" w:hAnsi="Times New Roman" w:cs="Times New Roman"/>
          <w:sz w:val="24"/>
          <w:szCs w:val="24"/>
        </w:rPr>
        <w:t>38.</w:t>
      </w:r>
      <w:r w:rsidR="00535A7C">
        <w:rPr>
          <w:rFonts w:ascii="Times New Roman" w:hAnsi="Times New Roman" w:cs="Times New Roman"/>
          <w:sz w:val="24"/>
          <w:szCs w:val="24"/>
        </w:rPr>
        <w:t>901</w:t>
      </w:r>
      <w:r w:rsidR="00CD5216" w:rsidRPr="003461C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6A1CDF" w:rsidRPr="006869E2">
        <w:rPr>
          <w:rFonts w:ascii="Times New Roman" w:hAnsi="Times New Roman" w:cs="Times New Roman"/>
          <w:sz w:val="24"/>
          <w:szCs w:val="24"/>
        </w:rPr>
        <w:t xml:space="preserve"> </w:t>
      </w:r>
      <w:r w:rsidR="006A1CDF" w:rsidRPr="006A1CDF">
        <w:rPr>
          <w:rFonts w:ascii="Times New Roman" w:hAnsi="Times New Roman" w:cs="Times New Roman"/>
          <w:sz w:val="24"/>
          <w:szCs w:val="24"/>
        </w:rPr>
        <w:t xml:space="preserve">Study on channel model for frequencies from 0.5 to 100 </w:t>
      </w:r>
      <w:proofErr w:type="gramStart"/>
      <w:r w:rsidR="006A1CDF" w:rsidRPr="006A1CDF">
        <w:rPr>
          <w:rFonts w:ascii="Times New Roman" w:hAnsi="Times New Roman" w:cs="Times New Roman"/>
          <w:sz w:val="24"/>
          <w:szCs w:val="24"/>
        </w:rPr>
        <w:t>GHz</w:t>
      </w:r>
      <w:r w:rsidR="006A1CDF">
        <w:rPr>
          <w:rFonts w:ascii="Times New Roman" w:hAnsi="Times New Roman" w:cs="Times New Roman"/>
          <w:sz w:val="24"/>
          <w:szCs w:val="24"/>
        </w:rPr>
        <w:t xml:space="preserve"> </w:t>
      </w:r>
      <w:r w:rsidR="006869E2" w:rsidRPr="006869E2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="006869E2" w:rsidRPr="006869E2">
        <w:rPr>
          <w:rFonts w:ascii="Times New Roman" w:hAnsi="Times New Roman" w:cs="Times New Roman"/>
          <w:sz w:val="24"/>
          <w:szCs w:val="24"/>
        </w:rPr>
        <w:t>Release 19)</w:t>
      </w:r>
    </w:p>
    <w:p w14:paraId="10B48B90" w14:textId="2CF9CE22" w:rsidR="00FF3EE8" w:rsidRPr="00740B8F" w:rsidRDefault="00982E29" w:rsidP="007956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[5] TS </w:t>
      </w:r>
      <w:proofErr w:type="gramStart"/>
      <w:r>
        <w:rPr>
          <w:rFonts w:ascii="Times New Roman" w:hAnsi="Times New Roman" w:cs="Times New Roman"/>
          <w:sz w:val="24"/>
          <w:szCs w:val="24"/>
        </w:rPr>
        <w:t>23.502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2E29">
        <w:rPr>
          <w:rFonts w:ascii="Times New Roman" w:hAnsi="Times New Roman" w:cs="Times New Roman"/>
          <w:sz w:val="24"/>
          <w:szCs w:val="24"/>
        </w:rPr>
        <w:t>Procedures for the 5G System (5GS)</w:t>
      </w:r>
    </w:p>
    <w:sectPr w:rsidR="00FF3EE8" w:rsidRPr="00740B8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41D4B56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B54CA0"/>
    <w:multiLevelType w:val="hybridMultilevel"/>
    <w:tmpl w:val="AF4EE5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17F5A3A"/>
    <w:multiLevelType w:val="hybridMultilevel"/>
    <w:tmpl w:val="6896B19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18CD3652"/>
    <w:multiLevelType w:val="hybridMultilevel"/>
    <w:tmpl w:val="ED3004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D7030DD"/>
    <w:multiLevelType w:val="hybridMultilevel"/>
    <w:tmpl w:val="90E2A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811D08"/>
    <w:multiLevelType w:val="hybridMultilevel"/>
    <w:tmpl w:val="ED300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751471"/>
    <w:multiLevelType w:val="hybridMultilevel"/>
    <w:tmpl w:val="07FA8046"/>
    <w:lvl w:ilvl="0" w:tplc="363E6540">
      <w:start w:val="4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63107D"/>
    <w:multiLevelType w:val="hybridMultilevel"/>
    <w:tmpl w:val="877AEA80"/>
    <w:lvl w:ilvl="0" w:tplc="3898AD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8159069">
    <w:abstractNumId w:val="8"/>
  </w:num>
  <w:num w:numId="2" w16cid:durableId="411895953">
    <w:abstractNumId w:val="6"/>
  </w:num>
  <w:num w:numId="3" w16cid:durableId="14232862">
    <w:abstractNumId w:val="5"/>
  </w:num>
  <w:num w:numId="4" w16cid:durableId="810366044">
    <w:abstractNumId w:val="4"/>
  </w:num>
  <w:num w:numId="5" w16cid:durableId="76439348">
    <w:abstractNumId w:val="7"/>
  </w:num>
  <w:num w:numId="6" w16cid:durableId="8920806">
    <w:abstractNumId w:val="3"/>
  </w:num>
  <w:num w:numId="7" w16cid:durableId="532310985">
    <w:abstractNumId w:val="2"/>
  </w:num>
  <w:num w:numId="8" w16cid:durableId="1440222340">
    <w:abstractNumId w:val="1"/>
  </w:num>
  <w:num w:numId="9" w16cid:durableId="12345234">
    <w:abstractNumId w:val="0"/>
  </w:num>
  <w:num w:numId="10" w16cid:durableId="381178554">
    <w:abstractNumId w:val="16"/>
  </w:num>
  <w:num w:numId="11" w16cid:durableId="1310280601">
    <w:abstractNumId w:val="13"/>
  </w:num>
  <w:num w:numId="12" w16cid:durableId="1219703230">
    <w:abstractNumId w:val="10"/>
  </w:num>
  <w:num w:numId="13" w16cid:durableId="1104348119">
    <w:abstractNumId w:val="11"/>
  </w:num>
  <w:num w:numId="14" w16cid:durableId="2019848685">
    <w:abstractNumId w:val="9"/>
  </w:num>
  <w:num w:numId="15" w16cid:durableId="1561135956">
    <w:abstractNumId w:val="14"/>
  </w:num>
  <w:num w:numId="16" w16cid:durableId="1403791524">
    <w:abstractNumId w:val="18"/>
  </w:num>
  <w:num w:numId="17" w16cid:durableId="1296565569">
    <w:abstractNumId w:val="17"/>
  </w:num>
  <w:num w:numId="18" w16cid:durableId="607202686">
    <w:abstractNumId w:val="15"/>
  </w:num>
  <w:num w:numId="19" w16cid:durableId="7501560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45AAC"/>
    <w:rsid w:val="0015074B"/>
    <w:rsid w:val="001836C8"/>
    <w:rsid w:val="00214BD3"/>
    <w:rsid w:val="0029639D"/>
    <w:rsid w:val="002D0DDC"/>
    <w:rsid w:val="002E0676"/>
    <w:rsid w:val="003124EE"/>
    <w:rsid w:val="003239FE"/>
    <w:rsid w:val="00326F90"/>
    <w:rsid w:val="003461CF"/>
    <w:rsid w:val="00357F3A"/>
    <w:rsid w:val="003E632A"/>
    <w:rsid w:val="00481EE5"/>
    <w:rsid w:val="004E1ADF"/>
    <w:rsid w:val="004F5AC5"/>
    <w:rsid w:val="00535A7C"/>
    <w:rsid w:val="00567FBB"/>
    <w:rsid w:val="005B21BC"/>
    <w:rsid w:val="005B3D8B"/>
    <w:rsid w:val="006760B7"/>
    <w:rsid w:val="006869E2"/>
    <w:rsid w:val="006A1CDF"/>
    <w:rsid w:val="00740B8F"/>
    <w:rsid w:val="007956B1"/>
    <w:rsid w:val="007F010A"/>
    <w:rsid w:val="008172D5"/>
    <w:rsid w:val="00820B23"/>
    <w:rsid w:val="008F4104"/>
    <w:rsid w:val="00903B46"/>
    <w:rsid w:val="00982E29"/>
    <w:rsid w:val="009D557D"/>
    <w:rsid w:val="009F060E"/>
    <w:rsid w:val="00AA1D8D"/>
    <w:rsid w:val="00B47730"/>
    <w:rsid w:val="00BE2888"/>
    <w:rsid w:val="00C561CC"/>
    <w:rsid w:val="00CB0664"/>
    <w:rsid w:val="00CD5216"/>
    <w:rsid w:val="00D16FF1"/>
    <w:rsid w:val="00D5013D"/>
    <w:rsid w:val="00D67AAF"/>
    <w:rsid w:val="00DB0778"/>
    <w:rsid w:val="00E658EA"/>
    <w:rsid w:val="00E96C24"/>
    <w:rsid w:val="00F06FB5"/>
    <w:rsid w:val="00F20ED3"/>
    <w:rsid w:val="00FC693F"/>
    <w:rsid w:val="00FF3EE8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B754DF"/>
  <w14:defaultImageDpi w14:val="300"/>
  <w15:docId w15:val="{7E632617-613D-432B-AC85-85E66A8C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e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aliases w:val="- Bullets,?? ??,?????,????,Lista1,列出段落,목록 단락,リスト段落,列出段落1,中等深浅网格 1 - 着色 21,목록 단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RCoverPage">
    <w:name w:val="CR Cover Page"/>
    <w:link w:val="CRCoverPageZchn"/>
    <w:rsid w:val="00740B8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740B8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목록 단 Char,1st level - Bullet List Paragraph Char,List Paragraph1 Char,Lettre d'introduction Char,ÁÐ³ö¶Î Char"/>
    <w:basedOn w:val="DefaultParagraphFont"/>
    <w:link w:val="ListParagraph"/>
    <w:uiPriority w:val="34"/>
    <w:qFormat/>
    <w:rsid w:val="00145AAC"/>
    <w:rPr>
      <w:lang w:val="en-IN"/>
    </w:rPr>
  </w:style>
  <w:style w:type="character" w:styleId="Hyperlink">
    <w:name w:val="Hyperlink"/>
    <w:uiPriority w:val="99"/>
    <w:qFormat/>
    <w:rsid w:val="002D0DDC"/>
    <w:rPr>
      <w:color w:val="0000FF"/>
      <w:u w:val="singl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82E29"/>
    <w:pPr>
      <w:spacing w:after="100"/>
      <w:ind w:left="1100"/>
    </w:pPr>
  </w:style>
  <w:style w:type="paragraph" w:customStyle="1" w:styleId="B1">
    <w:name w:val="B1"/>
    <w:basedOn w:val="List"/>
    <w:link w:val="B1Char1"/>
    <w:qFormat/>
    <w:rsid w:val="008172D5"/>
    <w:pPr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sid w:val="008172D5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1060</Words>
  <Characters>5506</Characters>
  <Application>Microsoft Office Word</Application>
  <DocSecurity>0</DocSecurity>
  <Lines>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6514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Abhijeet, CEWiT</cp:lastModifiedBy>
  <cp:revision>3</cp:revision>
  <dcterms:created xsi:type="dcterms:W3CDTF">2025-10-03T04:52:00Z</dcterms:created>
  <dcterms:modified xsi:type="dcterms:W3CDTF">2025-10-03T04:52:00Z</dcterms:modified>
  <cp:category/>
</cp:coreProperties>
</file>